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2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spacing w:after="304" w:line="32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заседания муниципальной общественной комиссии по подведению итогов приема предложений от жителей по определению функционального наполнения выбранной общественной территории «Благоустройство ул.Тогоева (от ул.Тихилова до ул.Гостиева)» для участия во Всеросс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ийском конкурсе лучших проектов создания комфортной городской среды в малых городах и исторических поселениях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tabs>
          <w:tab w:val="center" w:pos="6879"/>
          <w:tab w:val="center" w:pos="7885"/>
          <w:tab w:val="right" w:pos="9414"/>
        </w:tabs>
        <w:spacing w:line="322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 марта 2025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г.Дигора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spacing w:after="302" w:line="322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Время: 16:00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spacing w:after="300" w:line="319" w:lineRule="auto"/>
        <w:ind w:left="709" w:right="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Место проведения: РСО-Алания, Дигорский район, г. Дигора, ул.В.Акоева,47, кабинет №1.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Под председательством председателя общественной комиссии, Главы АМС Дигорского городского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Коцкиева Эльбруса Владимировича.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Присутствовали члены общественной ком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иссии: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Николов Ахсарбек Русланович- заместитель главы АМС Дигорского городского поселения, заместитель Председателя комиссии;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Гадзаова Элина Алановна - начальник отдела архитектуры и земельно-имущественных вопросов, секретарь комиссии;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Дзоциева Марина Уруз</w:t>
      </w:r>
      <w:r>
        <w:rPr>
          <w:rFonts w:ascii="Times New Roman" w:eastAsia="Times New Roman" w:hAnsi="Times New Roman" w:cs="Times New Roman"/>
          <w:sz w:val="26"/>
          <w:szCs w:val="26"/>
        </w:rPr>
        <w:t>маговна - ведущий специалистов по строительству.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Дзотова Аза Георгиевна - заместитель главы АМС Дигорского городского поселения.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Калоева Алана Казбековна - специалист юрист АМС Дигорского городского поселения.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Гуцаев Олег Кимович – председатель Собрания пр</w:t>
      </w:r>
      <w:r>
        <w:rPr>
          <w:rFonts w:ascii="Times New Roman" w:eastAsia="Times New Roman" w:hAnsi="Times New Roman" w:cs="Times New Roman"/>
          <w:sz w:val="26"/>
          <w:szCs w:val="26"/>
        </w:rPr>
        <w:t>едставителей Дигорского городского поселения.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Огневский  Олег Петрович - депутат Собрания представителй Дигорского городского поселения.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Карданов Тимур Заурбекович - депутат Собрания представителей Дигорского городского поселения, Председатель Северо-Осетинской региональной молодежной общественной организации Патриотический клуб "Родина".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Тогузаев Вячеслав Викторович - секретарь местное отд</w:t>
      </w:r>
      <w:r>
        <w:rPr>
          <w:rFonts w:ascii="Times New Roman" w:eastAsia="Times New Roman" w:hAnsi="Times New Roman" w:cs="Times New Roman"/>
          <w:sz w:val="26"/>
          <w:szCs w:val="26"/>
        </w:rPr>
        <w:t>еление Северо-Осетинского республиканского отделения политической партии "КОММУНИСТИЧЕСКАЯ ПАРТИЯ РОССИЙСКОЙ ФЕДЕРАЦИИ".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Гуцаев Сослан Кавдунович - Политическая партия «СПРАВЕДЛИВАЯ РОССИЯ - ПАТРИОТЫ - ЗА ПРАВДУ»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Повестка дня.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Подведение итогов приема пред</w:t>
      </w:r>
      <w:r>
        <w:rPr>
          <w:rFonts w:ascii="Times New Roman" w:eastAsia="Times New Roman" w:hAnsi="Times New Roman" w:cs="Times New Roman"/>
          <w:sz w:val="26"/>
          <w:szCs w:val="26"/>
        </w:rPr>
        <w:t>ложений от населения по благоустройству общественных территорий «Благоустройство ул.Тогоева (от ул.Тихилова до ул.Гостиева)», с целью участия во Всероссийском конкурсе лучших проектов создания комфортной городской среды в малых городах и исторических посел</w:t>
      </w:r>
      <w:r>
        <w:rPr>
          <w:rFonts w:ascii="Times New Roman" w:eastAsia="Times New Roman" w:hAnsi="Times New Roman" w:cs="Times New Roman"/>
          <w:sz w:val="26"/>
          <w:szCs w:val="26"/>
        </w:rPr>
        <w:t>ениях.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eastAsia="Times New Roman" w:hAnsi="Times New Roman" w:cs="Times New Roman"/>
          <w:sz w:val="26"/>
          <w:szCs w:val="26"/>
        </w:rPr>
        <w:t>Коцкиев Э.В.- председатель общественной комиссии, который открыл заседание и огласил повестку заседания общественной комиссии по подведению итогов приема предложений от жителей  по определению функционального наполнения выбранной общественно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территории «Благоустройство ул.Тогоева (от ул.Тихилова до ул.Гостиева)» для участия во Всероссийском конкурсе лучших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проектов создания комфортной городской среды в малых городах и исторических поселениях в 2025 году.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АМС Дигорского городского поселения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игорского района РСО-Алания на основании  постановления Главы АМС Дигорского городского поселения от 11.02.2025 года № 41 «Об участии во Всероссийском конкурсе лучших проектов создания комфортной городской среды в малых городах и исторических поселениях в </w:t>
      </w:r>
      <w:r>
        <w:rPr>
          <w:rFonts w:ascii="Times New Roman" w:eastAsia="Times New Roman" w:hAnsi="Times New Roman" w:cs="Times New Roman"/>
          <w:sz w:val="26"/>
          <w:szCs w:val="26"/>
        </w:rPr>
        <w:t>2025 году»  приняла решение участвовать во Всероссийском конкурсе лучших проектов создания комфортной городской среды в малых городах и исторических поселениях.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АМС Дигорского городского поселения Дигорского района РСО-Алания было организован</w:t>
      </w:r>
      <w:r>
        <w:rPr>
          <w:rFonts w:ascii="Times New Roman" w:eastAsia="Times New Roman" w:hAnsi="Times New Roman" w:cs="Times New Roman"/>
          <w:sz w:val="26"/>
          <w:szCs w:val="26"/>
        </w:rPr>
        <w:t>о информирование населения в частности: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-на официальном сайте АМС Дигорского городского поселения Дигорского района РСО-Алания в информационно-телекоммуникационной сети «Интернет»: https://амс-дгп.рф /;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-еженедельной газете «Вести Дигории»</w:t>
      </w:r>
      <w:r w:rsidR="00D53A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от 18.02.2025г. №</w:t>
      </w:r>
      <w:r>
        <w:rPr>
          <w:rFonts w:ascii="Times New Roman" w:eastAsia="Times New Roman" w:hAnsi="Times New Roman" w:cs="Times New Roman"/>
          <w:sz w:val="26"/>
          <w:szCs w:val="26"/>
        </w:rPr>
        <w:t>17: http://vestidigorii.ru.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-на официальном информационном стенде АМС Дигорского городского поселения Дигорского района РСО-Алания, Дигорский район, г. Дигора, ул.В.Акоева,47.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На сайте АМС Дигорского городского поселения Дигорского района РСО-Алания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опубликовано постановление Главы АМС Дигорского городского поселения от 11.02.2025года № 41 «Об участии во Всероссийском конкурсе лучших проектов создания комфортной городской среды в малых городах и исторических поселениях в 2025 году», в котором отражен</w:t>
      </w:r>
      <w:r>
        <w:rPr>
          <w:rFonts w:ascii="Times New Roman" w:eastAsia="Times New Roman" w:hAnsi="Times New Roman" w:cs="Times New Roman"/>
          <w:sz w:val="26"/>
          <w:szCs w:val="26"/>
        </w:rPr>
        <w:t>ы сроки начала и окончания приема предложений от населения. Прием предложений от жителей проводилось с 01.03.2025г. до 10.03.2025г. как в письменном виде в свободной форме посредством: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личного обращения в пункты сбора предложений, утвержденные настоящим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почтового отправления по адресу: 363410, РСО-Алания, Дигорский район, г.Дигора,  ул. В.Акоева, д. 47, кабинет 1, АМС Дигорского городского поселения;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электронной почты gorsovet-dgp@rso-a;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письменной или устной форме в ходе проведен</w:t>
      </w:r>
      <w:r>
        <w:rPr>
          <w:rFonts w:ascii="Times New Roman" w:eastAsia="Times New Roman" w:hAnsi="Times New Roman" w:cs="Times New Roman"/>
          <w:sz w:val="26"/>
          <w:szCs w:val="26"/>
        </w:rPr>
        <w:t>ия очных обсуждений;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-путем проведения онлайн-голосования на платформе Яндекс голосование.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Предложения от населения принимались в следующих местах сбора предложений: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МБОУ СОШ №1 им. А.Н.Кибизова, по адресу: г.Дигора, ул.Карла Маркса,25;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МБОУ СОШ №2 им. А.Н.Кесаева, по адресу: г.Дигора, ул.Кесаева,32;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МБОУ СОШ №3 им. А.М.Абаева, по адресу: г.Дигора, ул.Калицова,79;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электронной почте по адресу: gorsovet-dgp@rso-a  в свободной форме.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 сборе предложений приняли участие 790 челове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среди которых 5 человек с коммерческими предложениями. 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На вопрос «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Каким должен быть основной формат среды на этой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>?» больше всего жителей дали ответ «активной» (28% голосов). Ответы «тихой» и «пешеходной» получили 23% и 22% соответственно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На вопрос «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Каких объектов рекреационной, социальной и бытовой инфраструктуры Вам не хватает в городе</w:t>
      </w:r>
      <w:r>
        <w:rPr>
          <w:rFonts w:ascii="Times New Roman" w:eastAsia="Times New Roman" w:hAnsi="Times New Roman" w:cs="Times New Roman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sz w:val="26"/>
          <w:szCs w:val="26"/>
        </w:rPr>
        <w:t>» больше всего жителей дали ответ «парков» (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43.8%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голосов). Ответы «тихой» и «пешеходной» получили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26.3%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20%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соответственно.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На вопрос «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Для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посещения каких социально бытовых и культурных объектов Вы обычно выезжаете из города</w:t>
      </w:r>
      <w:r>
        <w:rPr>
          <w:rFonts w:ascii="Times New Roman" w:eastAsia="Times New Roman" w:hAnsi="Times New Roman" w:cs="Times New Roman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sz w:val="26"/>
          <w:szCs w:val="26"/>
        </w:rPr>
        <w:t>» больше всего жителей дали ответ «парков» (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26.3%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голосов). Ответы «кинотеатров» и «физкультурно-оздоровительных комплексов» получили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25%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15%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соответственно.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Мероприятия по итогам сбора предложений от жителей  по определению функционального наполнения выбранной общественной территории «Благоустройство ул.Тогоева (от ул.Тихилова до ул.Гостиева)» для участия во Всероссийском конкурсе лучших проектов создания </w:t>
      </w:r>
      <w:r>
        <w:rPr>
          <w:rFonts w:ascii="Times New Roman" w:eastAsia="Times New Roman" w:hAnsi="Times New Roman" w:cs="Times New Roman"/>
          <w:sz w:val="26"/>
          <w:szCs w:val="26"/>
        </w:rPr>
        <w:t>комфортной городской среды в малых городах и исторических поселениях: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2"/>
        <w:tblW w:w="970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8777"/>
      </w:tblGrid>
      <w:tr w:rsidR="00737563">
        <w:trPr>
          <w:trHeight w:val="48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№п/п.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</w:tr>
      <w:tr w:rsidR="00737563">
        <w:trPr>
          <w:trHeight w:val="76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ул. Тогоева (от ул.Тихилова до ул.Гостиева) </w:t>
            </w:r>
          </w:p>
        </w:tc>
      </w:tr>
      <w:tr w:rsidR="00737563">
        <w:trPr>
          <w:trHeight w:val="62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Устройство крытых навесов для использования в солнечные дни</w:t>
            </w:r>
          </w:p>
        </w:tc>
      </w:tr>
      <w:tr w:rsidR="00737563">
        <w:trPr>
          <w:trHeight w:val="40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озеленения</w:t>
            </w:r>
          </w:p>
        </w:tc>
      </w:tr>
      <w:tr w:rsidR="00737563">
        <w:trPr>
          <w:trHeight w:val="26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зон отдыха для детей и взрослых.</w:t>
            </w:r>
          </w:p>
        </w:tc>
      </w:tr>
      <w:tr w:rsidR="00737563">
        <w:trPr>
          <w:trHeight w:val="36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удобный тротуаров</w:t>
            </w:r>
          </w:p>
        </w:tc>
      </w:tr>
      <w:tr w:rsidR="00737563">
        <w:trPr>
          <w:trHeight w:val="28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в благоустройстве элементов мельницы, указывающих на историческое название и историческую функцию улицы</w:t>
            </w:r>
          </w:p>
        </w:tc>
      </w:tr>
      <w:tr w:rsidR="00737563">
        <w:trPr>
          <w:trHeight w:val="36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 деревьев, находящихся в данный момент на территории</w:t>
            </w:r>
          </w:p>
        </w:tc>
      </w:tr>
      <w:tr w:rsidR="00737563">
        <w:trPr>
          <w:trHeight w:val="40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Посадка цветов и декоративных кустарников</w:t>
            </w:r>
          </w:p>
        </w:tc>
      </w:tr>
      <w:tr w:rsidR="00737563">
        <w:trPr>
          <w:trHeight w:val="40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 для занятий спортом</w:t>
            </w:r>
          </w:p>
        </w:tc>
      </w:tr>
      <w:tr w:rsidR="00737563">
        <w:trPr>
          <w:trHeight w:val="38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Оформить речку, сделать через нее мостики</w:t>
            </w:r>
          </w:p>
        </w:tc>
      </w:tr>
      <w:tr w:rsidR="00737563">
        <w:trPr>
          <w:trHeight w:val="420"/>
        </w:trPr>
        <w:tc>
          <w:tcPr>
            <w:tcW w:w="925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77" w:type="dxa"/>
          </w:tcPr>
          <w:p w:rsidR="00737563" w:rsidRDefault="00AC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парковую зону, уже запущенную на ул. Тогоева.</w:t>
            </w:r>
          </w:p>
        </w:tc>
      </w:tr>
    </w:tbl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Николов А.Р.-  в соответствии с утвержденным Порядком деятельности общественной комиссии необходимо определить </w:t>
      </w: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sz w:val="26"/>
          <w:szCs w:val="26"/>
        </w:rPr>
        <w:t>функциональное наполнение выбранной общественной территории «Благоустройство ул.Тогоева (от ул.Тихилова до ул.Гостиева)» для участия во Вс</w:t>
      </w:r>
      <w:r>
        <w:rPr>
          <w:rFonts w:ascii="Times New Roman" w:eastAsia="Times New Roman" w:hAnsi="Times New Roman" w:cs="Times New Roman"/>
          <w:sz w:val="26"/>
          <w:szCs w:val="26"/>
        </w:rPr>
        <w:t>ероссийском конкурсе лучших проектов создания комфортной городской среды в малых городах и исторических поселениях.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Николов А.Р.- есть ли у членов общественной комиссии замечания и предложения? Замечаний и предложений нет. Прошу проголосовать: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ГОЛОСОВАЛИ: «за»- 11 (одиннадцать), «против» - 0, «воздержались» - 0.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Николов А.Р. – по результатам голосования общественная комиссия единогласно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РЕШИЛА: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Утвердить перечень мероприятий по функциональному наполнению общественной территории «Благоустройство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ул.Тогоева (от ул.Тихилова до ул.Гостиева)» для участия во Всероссийском конкурсе лучших проектов создания комфортной городской среды в малых городах и исторических поселениях согласно настоящего протокола.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Председатель общественной комиссии: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Коцкиев Эльбрус Владимирович         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Заместитель Председателя общественной комиссии: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Николов Ахсарбек Русланович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ind w:left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60" w:lineRule="auto"/>
        <w:ind w:left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Гадзаова Элина Алановна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Члены комиссии: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Дзоциева Марина Урузмаговна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Калоева Алана Казбековна 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Гуцаев Олег Кимович 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Огневский  Олег Петрович 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Карданов Тимур Заурбекович 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Тогузаев Вячеслав Викторович 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AC0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Гуцаев Сослан Кавдунович </w:t>
      </w: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20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851"/>
        <w:rPr>
          <w:rFonts w:ascii="Times New Roman" w:eastAsia="Times New Roman" w:hAnsi="Times New Roman" w:cs="Times New Roman"/>
          <w:sz w:val="26"/>
          <w:szCs w:val="26"/>
        </w:rPr>
      </w:pPr>
    </w:p>
    <w:p w:rsidR="00737563" w:rsidRDefault="00737563">
      <w:pPr>
        <w:ind w:left="851"/>
        <w:rPr>
          <w:sz w:val="26"/>
          <w:szCs w:val="26"/>
        </w:rPr>
      </w:pPr>
    </w:p>
    <w:p w:rsidR="00737563" w:rsidRDefault="00737563">
      <w:pPr>
        <w:ind w:left="142"/>
        <w:rPr>
          <w:sz w:val="26"/>
          <w:szCs w:val="26"/>
        </w:rPr>
      </w:pPr>
    </w:p>
    <w:sectPr w:rsidR="00737563">
      <w:footerReference w:type="default" r:id="rId7"/>
      <w:pgSz w:w="11909" w:h="16838"/>
      <w:pgMar w:top="426" w:right="732" w:bottom="709" w:left="732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EE" w:rsidRDefault="00AC0DEE">
      <w:r>
        <w:separator/>
      </w:r>
    </w:p>
  </w:endnote>
  <w:endnote w:type="continuationSeparator" w:id="0">
    <w:p w:rsidR="00AC0DEE" w:rsidRDefault="00AC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63" w:rsidRDefault="00AC0D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 w:rsidR="00D53A16">
      <w:fldChar w:fldCharType="separate"/>
    </w:r>
    <w:r w:rsidR="00D53A16">
      <w:rPr>
        <w:noProof/>
      </w:rPr>
      <w:t>1</w:t>
    </w:r>
    <w:r>
      <w:fldChar w:fldCharType="end"/>
    </w:r>
  </w:p>
  <w:p w:rsidR="00737563" w:rsidRDefault="007375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EE" w:rsidRDefault="00AC0DEE">
      <w:r>
        <w:separator/>
      </w:r>
    </w:p>
  </w:footnote>
  <w:footnote w:type="continuationSeparator" w:id="0">
    <w:p w:rsidR="00AC0DEE" w:rsidRDefault="00AC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7563"/>
    <w:rsid w:val="00737563"/>
    <w:rsid w:val="00AC0DEE"/>
    <w:rsid w:val="00D5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a5">
    <w:name w:val="Основной текст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0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.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6"/>
    <w:basedOn w:val="a"/>
    <w:link w:val="a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table" w:styleId="a8">
    <w:name w:val="Table Grid"/>
    <w:basedOn w:val="a1"/>
    <w:uiPriority w:val="39"/>
    <w:rsid w:val="00BC7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B626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805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56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E24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42A"/>
    <w:rPr>
      <w:color w:val="000000"/>
    </w:rPr>
  </w:style>
  <w:style w:type="paragraph" w:styleId="ae">
    <w:name w:val="footer"/>
    <w:basedOn w:val="a"/>
    <w:link w:val="af"/>
    <w:uiPriority w:val="99"/>
    <w:unhideWhenUsed/>
    <w:rsid w:val="007E2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242A"/>
    <w:rPr>
      <w:color w:val="00000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A37E2"/>
    <w:rPr>
      <w:b/>
      <w:color w:val="000000"/>
      <w:sz w:val="28"/>
      <w:szCs w:val="28"/>
    </w:r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a5">
    <w:name w:val="Основной текст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0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.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6"/>
    <w:basedOn w:val="a"/>
    <w:link w:val="a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table" w:styleId="a8">
    <w:name w:val="Table Grid"/>
    <w:basedOn w:val="a1"/>
    <w:uiPriority w:val="39"/>
    <w:rsid w:val="00BC7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B626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805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56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E24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42A"/>
    <w:rPr>
      <w:color w:val="000000"/>
    </w:rPr>
  </w:style>
  <w:style w:type="paragraph" w:styleId="ae">
    <w:name w:val="footer"/>
    <w:basedOn w:val="a"/>
    <w:link w:val="af"/>
    <w:uiPriority w:val="99"/>
    <w:unhideWhenUsed/>
    <w:rsid w:val="007E24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242A"/>
    <w:rPr>
      <w:color w:val="00000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A37E2"/>
    <w:rPr>
      <w:b/>
      <w:color w:val="000000"/>
      <w:sz w:val="28"/>
      <w:szCs w:val="28"/>
    </w:r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cp:lastPrinted>2025-03-17T17:27:00Z</cp:lastPrinted>
  <dcterms:created xsi:type="dcterms:W3CDTF">2025-03-17T17:27:00Z</dcterms:created>
  <dcterms:modified xsi:type="dcterms:W3CDTF">2025-03-17T17:27:00Z</dcterms:modified>
</cp:coreProperties>
</file>