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Утвержден план мероприятий по реализации механизма управления системными изменениями нормативно-правового регулирования предпринимательской деятельности "Трансформация делового климата" "Градостроительная деятельность"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tbl>
      <w:tblPr>
        <w:tblInd w:w="180" w:type="dxa"/>
      </w:tblPr>
      <w:tblGrid>
        <w:gridCol w:w="559"/>
        <w:gridCol w:w="10008"/>
      </w:tblGrid>
      <w:tr>
        <w:trPr>
          <w:trHeight w:val="1" w:hRule="atLeast"/>
          <w:jc w:val="left"/>
        </w:trPr>
        <w:tc>
          <w:tcPr>
            <w:tcW w:w="55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80" w:type="dxa"/>
              <w:right w:w="18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176" w:dyaOrig="220">
                <v:rect xmlns:o="urn:schemas-microsoft-com:office:office" xmlns:v="urn:schemas-microsoft-com:vml" id="rectole0000000000" style="width:8.800000pt;height:11.000000pt" o:preferrelative="t" o:ole="">
                  <o:lock v:ext="edit"/>
                  <v:imagedata xmlns:r="http://schemas.openxmlformats.org/officeDocument/2006/relationships" r:id="docRId1" o:title=""/>
                </v:rect>
      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      </w:object>
            </w:r>
          </w:p>
        </w:tc>
        <w:tc>
          <w:tcPr>
            <w:tcW w:w="100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80" w:type="dxa"/>
              <w:right w:w="18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hyperlink xmlns:r="http://schemas.openxmlformats.org/officeDocument/2006/relationships" r:id="docRId2">
              <w:r>
                <w:rPr>
                  <w:rFonts w:ascii="Arial" w:hAnsi="Arial" w:cs="Arial" w:eastAsia="Arial"/>
                  <w:color w:val="0000FF"/>
                  <w:spacing w:val="0"/>
                  <w:position w:val="0"/>
                  <w:sz w:val="16"/>
                  <w:u w:val="single"/>
                  <w:shd w:fill="auto" w:val="clear"/>
                </w:rPr>
                <w:t xml:space="preserve">Распоряжение</w:t>
              </w:r>
            </w:hyperlink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Правительства РФ от 19.01.2021 N 48-р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&lt;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Об утверждении Плана мероприятий ("дорожная карта") реализации механизма управления системными изменениями нормативно-правового регулирования предпринимательской деятельности "Трансформация делового климата" "Градостроительная деятельность"&gt;</w:t>
            </w:r>
          </w:p>
        </w:tc>
      </w:tr>
    </w:tbl>
    <w:p>
      <w:pPr>
        <w:spacing w:before="20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В перечне мероприятий, в числе прочего:</w:t>
      </w:r>
    </w:p>
    <w:p>
      <w:pPr>
        <w:spacing w:before="20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внесение изменений в Градостроительный кодекс РФ и иные законодательные акты РФ в части создания нормативной правовой основы формирования и ведения цифровых паспортов объектов капитального строительства (с использованием уникального идентификационного номера объекта капитального строительства);</w:t>
      </w:r>
    </w:p>
    <w:p>
      <w:pPr>
        <w:spacing w:before="20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принятие акта Правительства РФ об установлении экспериментального правового режима в отношении предоставления государственных и муниципальных услуг в сфере строительства в г. Москве;</w:t>
      </w:r>
    </w:p>
    <w:p>
      <w:pPr>
        <w:spacing w:before="20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внесение изменений в Градостроительный кодекс РФ в целях определения содержания рабочей документации на объект капитального строительства, порядка ее подготовки и внесения в нее изменений;</w:t>
      </w:r>
    </w:p>
    <w:p>
      <w:pPr>
        <w:spacing w:before="20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внесение изменений в нормативно-технические документы в части исключения положений, предусматривающих согласование расположения подземных коммуникаций и сооружений с эксплуатирующими организациями, в случае принятия уполномоченными органами решения о формировании и ведении плана наземных и подземных коммуникаций;</w:t>
      </w:r>
    </w:p>
    <w:p>
      <w:pPr>
        <w:spacing w:before="20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предоставление каникул в части уплаты арендной платы за переданные в аренду объекты недвижимости, находящиеся в государственной собственности, в целях размещения объектов инфраструктуры связи.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numbering.xml" Id="docRId3" Type="http://schemas.openxmlformats.org/officeDocument/2006/relationships/numbering" /><Relationship Target="embeddings/oleObject0.bin" Id="docRId0" Type="http://schemas.openxmlformats.org/officeDocument/2006/relationships/oleObject" /><Relationship TargetMode="External" Target="consultantplus://offline/ref=A0BE50831B2FB84570D9EC0C7D225F100E408D0348AFA3CF09A8D9FDD6FE1A35CEEFE6C70C267E002A3FEFDCC0L8M6I" Id="docRId2" Type="http://schemas.openxmlformats.org/officeDocument/2006/relationships/hyperlink" /><Relationship Target="styles.xml" Id="docRId4" Type="http://schemas.openxmlformats.org/officeDocument/2006/relationships/styles" /></Relationships>
</file>