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В декларацию по налогу на имущество организаций теперь включаются сведения о среднегодовой стоимости объектов движимого имущества, учтенных на балансе организации в качестве объектов основных средств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форму декларации внесен соответствующий раздел, который заполняется за истекший налоговый период в разрезе по субъектам РФ. Если организация представляет декларации в несколько налоговых органов, то раздел со сведениями о среднегодовой стоимости объектов движимого имущества может включаться в любую из них.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заполнения декларации можно использовать новые описания кодов налоговых льгот исходя из ст. 2 Федерального закона от 15.10.2020 N 320-ФЗ. Они уточняют виды организаций, осуществляющих деятельность в отраслях экономики, в наибольшей степени пострадавших от распространения коронавирусной инфекции, которые освобождаются от уплаты налогов за II квартал 2020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