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Определен порядок заключения соглашений между организатором азартных игр в букмекерской конторе и субъектами профессионального спорта, о предоставлении информации о проведении спортивных соревнований по соответствующему виду спорта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80" w:type="dxa"/>
      </w:tblPr>
      <w:tblGrid>
        <w:gridCol w:w="559"/>
        <w:gridCol w:w="10008"/>
      </w:tblGrid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76" w:dyaOrig="220">
                <v:rect xmlns:o="urn:schemas-microsoft-com:office:office" xmlns:v="urn:schemas-microsoft-com:vml" id="rectole0000000000" style="width:8.800000pt;height:11.0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0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Приказ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Минспорта России от 21.12.2020 N 951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"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Об утверждении порядка заключения соглашений о предоставлении информации о проведении спортивных соревнований, заключаемых между организатором азартных игр в букмекерской конторе и субъектами профессионального спорта, а именно общероссийскими спортивными федерациями, организующими спортивные соревнования по соответствующему виду спорта, профессиональными спортивными лигами, организующими профессиональные спортивные соревнования по соответствующему виду спорта, обязательных условий таких соглашений"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Зарегистрировано в Минюсте России 19.01.2021 N 62132.</w:t>
            </w:r>
          </w:p>
        </w:tc>
      </w:tr>
    </w:tbl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Установлено, в частности, что организатор азартных игр предоставляет субъекту профессионального спорта в лице общероссийской спортивной федерации либо профессиональной спортивной лиги, организующих профессиональные спортивные соревнования по соответствующему виду спорта, соглашение в трех экземплярах с приложением копий лицензии на осуществление деятельности по организации и проведению азартных игр в букмекерских конторах и тотализаторах, устава и документа, подтверждающего членство организатора азартных игр в саморегулируемой организации организаторов азартных игр соответствующего вида.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случае отсутствия замечаний и предложений стороны подписывают соглашение.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После подписания два экземпляра соглашения направляются организатору азартных игр, один из которых направляется им саморегулируемой организацией организаторов азартных игр в букмекерских конторах, в которой он состоит, третий экземпляр соглашения хранится у субъекта профессионального спорта. Стороны вправе заключать дополнительные соглашения к заключенному соглашению, расширяющие состав подлежащей предоставлению информации и устанавливающие иной порядок ее предоставления.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Обязательными условиями соглашений о предоставлении информации о проведении спортивных соревнований являются, в числе прочего: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состав информации о проведении спортивных соревнований по соответствующему виду спорта, подлежащий предоставлению в рамках соглашения, включающий в себя наименования спортивных соревнований и источник информации о проведении спортивного соревнования (например, адрес сайта в информационно-телекоммуникационной сети "Интернет");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сроки перечисления целевых отчислений, но не позднее 10 числа месяца, следующего за кварталом, в котором возникла база для расчета целевых отчислений;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порядок перечисления целевых отчислений от организаторов азартных игр, в том числе перечисление в безналичном порядке целевых отчислений на счет, открытый в финансово-кредитной организации на территории РФ;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порядок расчета суммы (размера) целевых отчислений;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срок действия соглашения либо указание на бессрочный характер его действия.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Настоящий приказ вступает в силу с 25 января 2021 года и действует до 27 сентября 2021 года.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consultantplus://offline/ref=67CED65FAE95C8BB57877D0CD0E51D3F1DC0DCD50B4F0053482F6307568440DC845E114F940F52E0E1158BC716r1P3I" Id="docRId2" Type="http://schemas.openxmlformats.org/officeDocument/2006/relationships/hyperlink" /><Relationship Target="styles.xml" Id="docRId4" Type="http://schemas.openxmlformats.org/officeDocument/2006/relationships/styles" /></Relationships>
</file>